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ECE" w:rsidRPr="00302B40" w:rsidRDefault="00D21ECE" w:rsidP="00D21EC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40">
        <w:rPr>
          <w:rFonts w:ascii="Times New Roman" w:hAnsi="Times New Roman"/>
          <w:sz w:val="28"/>
          <w:szCs w:val="28"/>
        </w:rPr>
        <w:t xml:space="preserve">За 2025 год организациями всех форм собственности и населением введено в эксплуатацию 642,5 тыс. кв. метров общей площади жилья, что на 5,2% выше показателя 2024 года и составляет 110,9% от плана. </w:t>
      </w:r>
    </w:p>
    <w:p w:rsidR="00D21ECE" w:rsidRPr="00302B40" w:rsidRDefault="00D21ECE" w:rsidP="00D21ECE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40">
        <w:rPr>
          <w:rFonts w:ascii="Times New Roman" w:hAnsi="Times New Roman"/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построено 73 многоквартирных дома на 3545 квартиры общей площадью 222,5 тыс. кв. метров. </w:t>
      </w:r>
    </w:p>
    <w:p w:rsidR="00D21ECE" w:rsidRPr="00302B40" w:rsidRDefault="00D21ECE" w:rsidP="00D21ECE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40">
        <w:rPr>
          <w:rFonts w:ascii="Times New Roman" w:hAnsi="Times New Roman"/>
          <w:sz w:val="28"/>
          <w:szCs w:val="28"/>
        </w:rPr>
        <w:t xml:space="preserve">Индивидуальными застройщиками построен 3121 собственный дом площадью 420 тыс. кв. метров, что на 13,5% выше показателя 2024 года. </w:t>
      </w:r>
    </w:p>
    <w:p w:rsidR="003E54B5" w:rsidRDefault="003E54B5">
      <w:bookmarkStart w:id="0" w:name="_GoBack"/>
      <w:bookmarkEnd w:id="0"/>
    </w:p>
    <w:sectPr w:rsidR="003E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B5"/>
    <w:rsid w:val="003E54B5"/>
    <w:rsid w:val="008554C0"/>
    <w:rsid w:val="00D21ECE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0D53-A1ED-4032-8B9E-13802CA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54B5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2026-06-02T09:07:00Z</dcterms:created>
  <dcterms:modified xsi:type="dcterms:W3CDTF">2026-06-02T09:07:00Z</dcterms:modified>
</cp:coreProperties>
</file>