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3D" w:rsidRDefault="00620D3D" w:rsidP="00620D3D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Кабардино-Балкарской Республики за январь 2025 года общая площадь введенного жилья составила 78,6 тыс. кв</w:t>
      </w:r>
      <w:r w:rsidRPr="00B00F02">
        <w:rPr>
          <w:sz w:val="28"/>
          <w:szCs w:val="28"/>
        </w:rPr>
        <w:t xml:space="preserve">. метров, что </w:t>
      </w:r>
      <w:r>
        <w:rPr>
          <w:sz w:val="28"/>
          <w:szCs w:val="28"/>
        </w:rPr>
        <w:t xml:space="preserve">в 1,7 раз больше аналогичного периода </w:t>
      </w:r>
      <w:r w:rsidRPr="00B00F02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B00F02">
        <w:rPr>
          <w:sz w:val="28"/>
          <w:szCs w:val="28"/>
        </w:rPr>
        <w:t xml:space="preserve"> года. Индивидуальными застройщиками построено </w:t>
      </w:r>
      <w:r>
        <w:rPr>
          <w:sz w:val="28"/>
          <w:szCs w:val="28"/>
        </w:rPr>
        <w:t>560</w:t>
      </w:r>
      <w:r w:rsidRPr="00B00F02">
        <w:rPr>
          <w:sz w:val="28"/>
          <w:szCs w:val="28"/>
        </w:rPr>
        <w:t xml:space="preserve"> </w:t>
      </w:r>
      <w:r>
        <w:rPr>
          <w:sz w:val="28"/>
          <w:szCs w:val="28"/>
        </w:rPr>
        <w:t>жилых</w:t>
      </w:r>
      <w:r w:rsidRPr="00B00F02">
        <w:rPr>
          <w:sz w:val="28"/>
          <w:szCs w:val="28"/>
        </w:rPr>
        <w:t xml:space="preserve"> домов</w:t>
      </w:r>
      <w:r>
        <w:rPr>
          <w:sz w:val="28"/>
          <w:szCs w:val="28"/>
        </w:rPr>
        <w:t>.</w:t>
      </w:r>
    </w:p>
    <w:p w:rsidR="00620D3D" w:rsidRDefault="00620D3D">
      <w:bookmarkStart w:id="0" w:name="_GoBack"/>
      <w:bookmarkEnd w:id="0"/>
    </w:p>
    <w:sectPr w:rsidR="00620D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3D"/>
    <w:rsid w:val="0062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62E1E-7AA8-4765-8075-8B720AED1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20D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2025-11-06T07:36:00Z</dcterms:created>
  <dcterms:modified xsi:type="dcterms:W3CDTF">2025-11-06T07:37:00Z</dcterms:modified>
</cp:coreProperties>
</file>