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93" w:rsidRDefault="00377693" w:rsidP="00377693">
      <w:pPr>
        <w:tabs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проект «Жилье»</w:t>
      </w:r>
    </w:p>
    <w:p w:rsidR="00377693" w:rsidRDefault="00377693" w:rsidP="00377693">
      <w:pPr>
        <w:tabs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7693" w:rsidRDefault="00377693" w:rsidP="0037769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В рамках мероприятия по стимулированию программ развития жилищного строительства в 2022 году начато строительство объектов «Проект жилого района «Восточный» в городском округе Нальчик, КБР. Расширение сетей и сооружений водоотведения», «Проект жилого района «Восточный» в городском округе Нальчик, КБР. Расширение сетей и сооружений водоснабжения» с плановым сроком завершения строительства – декабрь 2023 года, объем необходимых средств для завершения строительства составляет 577 306,3 тыс. руб., в том числе 570 955,9 тыс. руб. из федерального бюджета и 6 350,4 тыс. руб. из бюджета КБР. На 2023 год в федеральном бюджете средства на завершение строительства указанных объектов не предусмотрены. </w:t>
      </w:r>
    </w:p>
    <w:p w:rsidR="00377693" w:rsidRDefault="00377693" w:rsidP="003776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br/>
        <w:t xml:space="preserve"> от 27 декабря 2022 г. № 069-09-2023-388 планируется реализация 2х вновь начинаемых объектов: </w:t>
      </w:r>
    </w:p>
    <w:p w:rsidR="00377693" w:rsidRDefault="00377693" w:rsidP="003776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«Водоснабжение 4 поселка «Белая речка» из родниковых источников, КБР» - 106,17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В настоящее время ведутся работы по определению подрядной организации. Плановый срок завершения строительства – декабрь 2023 года.</w:t>
      </w:r>
    </w:p>
    <w:p w:rsidR="00377693" w:rsidRDefault="00377693" w:rsidP="003776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«Строительство инженерных систем водоснабжения и водоотведения микрорайона индивидуальной жилой застройки за с. Хасанья» предельная стоимость составила 484,97 млн. руб., в том числе 479,63 млн. руб. из федерального бюджета и 5,33 млн. руб. из республиканского бюджета КБР. В рамках Соглашения с Минстроем России по данному объекту предусмотрено всего 81,35 млн. руб. Для своевременного завершения строительства и ввода объекта в эксплуатацию в установленные сроки необходимы средства в размере 403,62 млн. руб.</w:t>
      </w:r>
    </w:p>
    <w:p w:rsidR="00377693" w:rsidRDefault="00377693" w:rsidP="003776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2659322"/>
      <w:r>
        <w:rPr>
          <w:rFonts w:ascii="Times New Roman" w:hAnsi="Times New Roman" w:cs="Times New Roman"/>
          <w:sz w:val="28"/>
          <w:szCs w:val="28"/>
        </w:rPr>
        <w:t>Финансовое обеспечение:</w:t>
      </w:r>
    </w:p>
    <w:p w:rsidR="00377693" w:rsidRDefault="00377693" w:rsidP="003776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187 519,31 тыс. руб. (федеральный бюджет – 185 396,61 тыс. руб., бюджет КБР – 2 122,70 тыс. руб.);</w:t>
      </w:r>
    </w:p>
    <w:p w:rsidR="00377693" w:rsidRDefault="00377693" w:rsidP="0037769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2024 году – 95 166,53 тыс. руб. (федеральный бюджет – 94 119,70 тыс. руб., бюджет КБР – 1 046,83 тыс. руб.).</w:t>
      </w:r>
      <w:bookmarkEnd w:id="1"/>
    </w:p>
    <w:p w:rsidR="00377693" w:rsidRDefault="00377693"/>
    <w:sectPr w:rsidR="0037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93"/>
    <w:rsid w:val="0037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79314-026D-4742-9712-0E8E0E9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7693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2023-05-17T08:09:00Z</dcterms:created>
  <dcterms:modified xsi:type="dcterms:W3CDTF">2023-05-17T08:10:00Z</dcterms:modified>
</cp:coreProperties>
</file>