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2BC" w:rsidRDefault="00EF42BC" w:rsidP="00EF42BC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E2321"/>
          <w:spacing w:val="-2"/>
          <w:kern w:val="0"/>
          <w:sz w:val="40"/>
          <w:szCs w:val="40"/>
          <w:lang w:eastAsia="ru-RU"/>
          <w14:ligatures w14:val="none"/>
        </w:rPr>
      </w:pPr>
      <w:r w:rsidRPr="00EF42BC">
        <w:rPr>
          <w:rFonts w:ascii="Times New Roman" w:eastAsia="Times New Roman" w:hAnsi="Times New Roman" w:cs="Times New Roman"/>
          <w:b/>
          <w:bCs/>
          <w:color w:val="1E2321"/>
          <w:spacing w:val="-2"/>
          <w:kern w:val="0"/>
          <w:sz w:val="40"/>
          <w:szCs w:val="40"/>
          <w:lang w:eastAsia="ru-RU"/>
          <w14:ligatures w14:val="none"/>
        </w:rPr>
        <w:t>Как проверить законность строит</w:t>
      </w:r>
      <w:r w:rsidRPr="001A60C8">
        <w:rPr>
          <w:rFonts w:ascii="Times New Roman" w:eastAsia="Times New Roman" w:hAnsi="Times New Roman" w:cs="Times New Roman"/>
          <w:b/>
          <w:bCs/>
          <w:color w:val="1E2321"/>
          <w:spacing w:val="-2"/>
          <w:kern w:val="0"/>
          <w:sz w:val="40"/>
          <w:szCs w:val="40"/>
          <w:lang w:eastAsia="ru-RU"/>
          <w14:ligatures w14:val="none"/>
        </w:rPr>
        <w:t>ельства</w:t>
      </w:r>
      <w:r w:rsidRPr="00EF42BC">
        <w:rPr>
          <w:rFonts w:ascii="Times New Roman" w:eastAsia="Times New Roman" w:hAnsi="Times New Roman" w:cs="Times New Roman"/>
          <w:b/>
          <w:bCs/>
          <w:color w:val="1E2321"/>
          <w:spacing w:val="-2"/>
          <w:kern w:val="0"/>
          <w:sz w:val="40"/>
          <w:szCs w:val="40"/>
          <w:lang w:eastAsia="ru-RU"/>
          <w14:ligatures w14:val="none"/>
        </w:rPr>
        <w:t>?</w:t>
      </w:r>
    </w:p>
    <w:p w:rsidR="00EF42BC" w:rsidRPr="001A60C8" w:rsidRDefault="00EF42BC" w:rsidP="00EF42BC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E2321"/>
          <w:spacing w:val="-2"/>
          <w:kern w:val="0"/>
          <w:sz w:val="40"/>
          <w:szCs w:val="40"/>
          <w:lang w:eastAsia="ru-RU"/>
          <w14:ligatures w14:val="none"/>
        </w:rPr>
      </w:pPr>
    </w:p>
    <w:p w:rsidR="00DB18AC" w:rsidRPr="004F4A44" w:rsidRDefault="00DB18AC" w:rsidP="00DB18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4F4A4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Согласно Стратегии развития строительной отрасли и жилищно-коммунального хозяйства Российской Федерации на период до 2030 года с прогнозом до 2035 года в 2021 году объемы жилищного строительства достигли рекордных значений за всю историю России - 92,6 млн. кв. метров, из них многоквартирные дома - 43,5 млн. кв. метров, индивидуальное жилищное строительство - 49,1 млн. кв. метров. Ввод жилья на одного человека в 2021 году составил в городах 0,6 кв. метра, в сельской местности - 0,73 кв. метра. Обеспеченность населения жильем по итогам 2021 года составила 27,8 кв. метра на человека.</w:t>
      </w:r>
    </w:p>
    <w:p w:rsidR="00DB18AC" w:rsidRDefault="004F4A44" w:rsidP="0090304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4F4A4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Прогноз роста объема строительства многоквартирного жилья в стадии строительства к 2030 г. составляет 120 </w:t>
      </w:r>
      <w:proofErr w:type="spellStart"/>
      <w:r w:rsidRPr="004F4A4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млн.кв.м</w:t>
      </w:r>
      <w:proofErr w:type="spellEnd"/>
      <w:r w:rsidRPr="004F4A4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При этом основным способом привлечения инвестиций при </w:t>
      </w:r>
      <w:r w:rsidR="001853C0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строительстве многоквартирных домов является участие дольщиков в строительстве дома. Отношения между застройщиком и дольщиком регулирует </w:t>
      </w:r>
      <w:r w:rsidR="001853C0" w:rsidRPr="00EF42BC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Федеральны</w:t>
      </w:r>
      <w:r w:rsidR="001853C0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й</w:t>
      </w:r>
      <w:r w:rsidR="001853C0" w:rsidRPr="00EF42BC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закон</w:t>
      </w:r>
      <w:r w:rsidR="001853C0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="001853C0" w:rsidRPr="00EF42BC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853C0" w:rsidRPr="00460697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="001853C0" w:rsidRPr="00EC3DA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(далее - Закон № 214-ФЗ)</w:t>
      </w:r>
    </w:p>
    <w:p w:rsidR="00EF42BC" w:rsidRPr="001A60C8" w:rsidRDefault="00EF42BC" w:rsidP="00DB18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Весь перечень необходимой к раскрытию застройщиком информации </w:t>
      </w:r>
      <w:r w:rsidR="00460697" w:rsidRPr="00EF42BC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="001853C0" w:rsidRPr="00EC3DA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Закон</w:t>
      </w:r>
      <w:r w:rsidR="001853C0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ом</w:t>
      </w:r>
      <w:r w:rsidR="001853C0" w:rsidRPr="00EC3DA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№ 214-ФЗ</w:t>
      </w:r>
      <w:r w:rsidR="00460697" w:rsidRPr="00EF42BC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можно найти на сайте </w:t>
      </w:r>
      <w:proofErr w:type="spellStart"/>
      <w:r>
        <w:fldChar w:fldCharType="begin"/>
      </w:r>
      <w:r>
        <w:instrText>HYPERLINK "https://xn--80az8a.xn--d1aqf.xn--p1ai/" \t "_blank"</w:instrText>
      </w:r>
      <w:r>
        <w:fldChar w:fldCharType="separate"/>
      </w:r>
      <w:proofErr w:type="gramStart"/>
      <w:r w:rsidRPr="001A60C8"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наш.дом</w:t>
      </w:r>
      <w:proofErr w:type="gramEnd"/>
      <w:r w:rsidRPr="001A60C8"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.рф</w:t>
      </w:r>
      <w:proofErr w:type="spellEnd"/>
      <w:r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fldChar w:fldCharType="end"/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. Там же можно получить полные сведения о ходе строительства.</w:t>
      </w:r>
    </w:p>
    <w:p w:rsidR="00EF42BC" w:rsidRPr="001A60C8" w:rsidRDefault="00EF42BC" w:rsidP="0046069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Выделите время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, чтобы проверить всю информацию о застройщике </w:t>
      </w: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тщательно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Э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то значительно сэкономит ваши деньги, а также </w:t>
      </w: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позволит выбрать надежного застройщика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. </w:t>
      </w:r>
      <w:r w:rsidR="00460697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Н</w:t>
      </w:r>
      <w:r w:rsidR="00460697"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а сайте </w:t>
      </w:r>
      <w:proofErr w:type="spellStart"/>
      <w:r w:rsidR="00460697"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fldChar w:fldCharType="begin"/>
      </w:r>
      <w:r w:rsidR="00460697"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instrText xml:space="preserve"> HYPERLINK "https://xn--80az8a.xn--d1aqf.xn--p1ai/" \t "_blank" </w:instrText>
      </w:r>
      <w:r w:rsidR="00460697"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r>
      <w:r w:rsidR="00460697"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fldChar w:fldCharType="separate"/>
      </w:r>
      <w:proofErr w:type="gramStart"/>
      <w:r w:rsidR="00460697" w:rsidRPr="001A60C8"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наш.дом</w:t>
      </w:r>
      <w:proofErr w:type="gramEnd"/>
      <w:r w:rsidR="00460697" w:rsidRPr="001A60C8"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.рф</w:t>
      </w:r>
      <w:proofErr w:type="spellEnd"/>
      <w:r w:rsidR="00460697"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fldChar w:fldCharType="end"/>
      </w:r>
      <w:r w:rsidR="00460697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размещены </w:t>
      </w:r>
      <w:r w:rsidR="00460697">
        <w:rPr>
          <w:rFonts w:ascii="Times New Roman" w:eastAsia="Times New Roman" w:hAnsi="Times New Roman" w:cs="Times New Roman"/>
          <w:color w:val="1E2321"/>
          <w:spacing w:val="-3"/>
          <w:kern w:val="0"/>
          <w:sz w:val="28"/>
          <w:szCs w:val="28"/>
          <w:lang w:eastAsia="ru-RU"/>
          <w14:ligatures w14:val="none"/>
        </w:rPr>
        <w:t>п</w:t>
      </w:r>
      <w:r w:rsidRPr="001A60C8">
        <w:rPr>
          <w:rFonts w:ascii="Times New Roman" w:eastAsia="Times New Roman" w:hAnsi="Times New Roman" w:cs="Times New Roman"/>
          <w:color w:val="1E2321"/>
          <w:spacing w:val="-3"/>
          <w:kern w:val="0"/>
          <w:sz w:val="28"/>
          <w:szCs w:val="28"/>
          <w:lang w:eastAsia="ru-RU"/>
          <w14:ligatures w14:val="none"/>
        </w:rPr>
        <w:t>роектная декларация</w:t>
      </w:r>
      <w:r w:rsidR="00460697">
        <w:rPr>
          <w:rFonts w:ascii="Times New Roman" w:eastAsia="Times New Roman" w:hAnsi="Times New Roman" w:cs="Times New Roman"/>
          <w:color w:val="1E2321"/>
          <w:spacing w:val="-3"/>
          <w:kern w:val="0"/>
          <w:sz w:val="28"/>
          <w:szCs w:val="28"/>
          <w:lang w:eastAsia="ru-RU"/>
          <w14:ligatures w14:val="none"/>
        </w:rPr>
        <w:t xml:space="preserve">, </w:t>
      </w:r>
      <w:r w:rsidR="00460697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д</w:t>
      </w:r>
      <w:r w:rsidRPr="001A60C8">
        <w:rPr>
          <w:rFonts w:ascii="Times New Roman" w:eastAsia="Times New Roman" w:hAnsi="Times New Roman" w:cs="Times New Roman"/>
          <w:color w:val="1E2321"/>
          <w:spacing w:val="-3"/>
          <w:kern w:val="0"/>
          <w:sz w:val="28"/>
          <w:szCs w:val="28"/>
          <w:lang w:eastAsia="ru-RU"/>
          <w14:ligatures w14:val="none"/>
        </w:rPr>
        <w:t>ействующее разрешение на строительство</w:t>
      </w:r>
      <w:r w:rsidR="00460697">
        <w:rPr>
          <w:rFonts w:ascii="Times New Roman" w:eastAsia="Times New Roman" w:hAnsi="Times New Roman" w:cs="Times New Roman"/>
          <w:color w:val="1E2321"/>
          <w:spacing w:val="-3"/>
          <w:kern w:val="0"/>
          <w:sz w:val="28"/>
          <w:szCs w:val="28"/>
          <w:lang w:eastAsia="ru-RU"/>
          <w14:ligatures w14:val="none"/>
        </w:rPr>
        <w:t>, бухгалтерская отчетность.</w:t>
      </w:r>
    </w:p>
    <w:p w:rsidR="00EC3DA4" w:rsidRDefault="00EC3DA4" w:rsidP="00EC3DA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При покупке недвижимости в новостройке с 1 июля 2019 года </w:t>
      </w:r>
      <w:r w:rsidRPr="00EC3DA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в соответствии с Федеральным законом от 30.12.2004</w:t>
      </w: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г. </w:t>
      </w:r>
      <w:r w:rsidRPr="00EC3DA4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денежные средства в размере стоимости квартиры, приобретаемой на основании договора долевого участия, должны быть размещены на счете </w:t>
      </w:r>
      <w:proofErr w:type="spellStart"/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эскроу</w:t>
      </w:r>
      <w:proofErr w:type="spellEnd"/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, открытом в уполномоченном банке, а не передаваться застройщику напрямую, как это было раньше. Счет </w:t>
      </w:r>
      <w:proofErr w:type="spellStart"/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эскроу</w:t>
      </w:r>
      <w:proofErr w:type="spellEnd"/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 — это специальный банковский счет для расчетов с застройщиком.</w:t>
      </w:r>
    </w:p>
    <w:p w:rsidR="00EC3DA4" w:rsidRPr="00D01FFE" w:rsidRDefault="00EC3DA4" w:rsidP="00EC3DA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Схема работает следующим образом</w:t>
      </w:r>
      <w:r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:</w:t>
      </w:r>
      <w:r w:rsidRPr="001A60C8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</w:p>
    <w:p w:rsidR="00EC3DA4" w:rsidRPr="007A2456" w:rsidRDefault="00460697" w:rsidP="007A2456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п</w:t>
      </w:r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окупатель перечисляет сумму договора на счет </w:t>
      </w:r>
      <w:proofErr w:type="spellStart"/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эскроу</w:t>
      </w:r>
      <w:proofErr w:type="spellEnd"/>
      <w:r w:rsidR="0090304F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;</w:t>
      </w:r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</w:p>
    <w:p w:rsidR="00EC3DA4" w:rsidRPr="007A2456" w:rsidRDefault="00460697" w:rsidP="007A2456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</w:pPr>
      <w:r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lastRenderedPageBreak/>
        <w:t>б</w:t>
      </w:r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анк блокирует денежные средства покупателя на счете </w:t>
      </w:r>
      <w:proofErr w:type="spellStart"/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эскроу</w:t>
      </w:r>
      <w:proofErr w:type="spellEnd"/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до окончания строительства, а после предоставления разрешения на ввод объекта в эксплуатацию перечисляет денежные средства со счета </w:t>
      </w:r>
      <w:proofErr w:type="spellStart"/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>эскроу</w:t>
      </w:r>
      <w:proofErr w:type="spellEnd"/>
      <w:r w:rsidR="00EC3DA4" w:rsidRPr="007A2456">
        <w:rPr>
          <w:rFonts w:ascii="Times New Roman" w:eastAsia="Times New Roman" w:hAnsi="Times New Roman" w:cs="Times New Roman"/>
          <w:color w:val="1E2321"/>
          <w:spacing w:val="-2"/>
          <w:kern w:val="0"/>
          <w:sz w:val="28"/>
          <w:szCs w:val="28"/>
          <w:lang w:eastAsia="ru-RU"/>
          <w14:ligatures w14:val="none"/>
        </w:rPr>
        <w:t xml:space="preserve"> застройщику. </w:t>
      </w:r>
    </w:p>
    <w:p w:rsidR="00A024FB" w:rsidRPr="00D01FFE" w:rsidRDefault="004961E2" w:rsidP="007A2456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>Но</w:t>
      </w:r>
      <w:r w:rsidR="00A024FB" w:rsidRPr="00D01FFE">
        <w:rPr>
          <w:color w:val="000000"/>
          <w:sz w:val="28"/>
          <w:szCs w:val="28"/>
        </w:rPr>
        <w:t xml:space="preserve"> не все застройщики </w:t>
      </w:r>
      <w:r w:rsidRPr="00D01FFE">
        <w:rPr>
          <w:color w:val="000000"/>
          <w:sz w:val="28"/>
          <w:szCs w:val="28"/>
        </w:rPr>
        <w:t>соблюдают</w:t>
      </w:r>
      <w:r w:rsidR="00A024FB" w:rsidRPr="00D01FFE">
        <w:rPr>
          <w:color w:val="000000"/>
          <w:sz w:val="28"/>
          <w:szCs w:val="28"/>
        </w:rPr>
        <w:t xml:space="preserve"> </w:t>
      </w:r>
      <w:r w:rsidRPr="00D01FFE">
        <w:rPr>
          <w:color w:val="000000"/>
          <w:sz w:val="28"/>
          <w:szCs w:val="28"/>
        </w:rPr>
        <w:t xml:space="preserve">правила, установленные законом. Обходные пути </w:t>
      </w:r>
      <w:r w:rsidR="00A024FB" w:rsidRPr="00D01FFE">
        <w:rPr>
          <w:color w:val="000000"/>
          <w:sz w:val="28"/>
          <w:szCs w:val="28"/>
        </w:rPr>
        <w:t>в строительстве</w:t>
      </w:r>
      <w:r w:rsidRPr="00D01FFE">
        <w:rPr>
          <w:color w:val="000000"/>
          <w:sz w:val="28"/>
          <w:szCs w:val="28"/>
        </w:rPr>
        <w:t xml:space="preserve"> многоквартирных жилых домов</w:t>
      </w:r>
      <w:r w:rsidR="00A024FB" w:rsidRPr="00D01FFE">
        <w:rPr>
          <w:color w:val="000000"/>
          <w:sz w:val="28"/>
          <w:szCs w:val="28"/>
        </w:rPr>
        <w:t xml:space="preserve"> по всей России </w:t>
      </w:r>
      <w:r w:rsidRPr="00D01FFE">
        <w:rPr>
          <w:color w:val="000000"/>
          <w:sz w:val="28"/>
          <w:szCs w:val="28"/>
        </w:rPr>
        <w:t>встречаются все чаще</w:t>
      </w:r>
      <w:r w:rsidR="00A024FB" w:rsidRPr="00D01FFE">
        <w:rPr>
          <w:color w:val="000000"/>
          <w:sz w:val="28"/>
          <w:szCs w:val="28"/>
        </w:rPr>
        <w:t xml:space="preserve">. Застройщик, не </w:t>
      </w:r>
      <w:r w:rsidRPr="00D01FFE">
        <w:rPr>
          <w:color w:val="000000"/>
          <w:sz w:val="28"/>
          <w:szCs w:val="28"/>
        </w:rPr>
        <w:t>обремененный обязательствами</w:t>
      </w:r>
      <w:r w:rsidR="00A024FB" w:rsidRPr="00D01FFE">
        <w:rPr>
          <w:color w:val="000000"/>
          <w:sz w:val="28"/>
          <w:szCs w:val="28"/>
        </w:rPr>
        <w:t xml:space="preserve">, может строить дом </w:t>
      </w:r>
      <w:r w:rsidR="00733047" w:rsidRPr="00D01FFE">
        <w:rPr>
          <w:color w:val="000000"/>
          <w:sz w:val="28"/>
          <w:szCs w:val="28"/>
        </w:rPr>
        <w:t>бесконечно</w:t>
      </w:r>
      <w:r w:rsidR="00A024FB" w:rsidRPr="00D01FFE">
        <w:rPr>
          <w:color w:val="000000"/>
          <w:sz w:val="28"/>
          <w:szCs w:val="28"/>
        </w:rPr>
        <w:t>.</w:t>
      </w:r>
      <w:r w:rsidRPr="00D01FFE">
        <w:rPr>
          <w:color w:val="000000"/>
          <w:sz w:val="28"/>
          <w:szCs w:val="28"/>
        </w:rPr>
        <w:t xml:space="preserve"> При подписании </w:t>
      </w:r>
      <w:r w:rsidR="007A2456">
        <w:rPr>
          <w:color w:val="000000"/>
          <w:sz w:val="28"/>
          <w:szCs w:val="28"/>
        </w:rPr>
        <w:t xml:space="preserve">«серого» </w:t>
      </w:r>
      <w:r w:rsidR="00A024FB" w:rsidRPr="00D01FFE">
        <w:rPr>
          <w:color w:val="000000"/>
          <w:sz w:val="28"/>
          <w:szCs w:val="28"/>
        </w:rPr>
        <w:t>договор</w:t>
      </w:r>
      <w:r w:rsidRPr="00D01FFE">
        <w:rPr>
          <w:color w:val="000000"/>
          <w:sz w:val="28"/>
          <w:szCs w:val="28"/>
        </w:rPr>
        <w:t>а</w:t>
      </w:r>
      <w:r w:rsidR="00A024FB" w:rsidRPr="00D01FFE">
        <w:rPr>
          <w:color w:val="000000"/>
          <w:sz w:val="28"/>
          <w:szCs w:val="28"/>
        </w:rPr>
        <w:t xml:space="preserve"> </w:t>
      </w:r>
      <w:r w:rsidRPr="00D01FFE">
        <w:rPr>
          <w:color w:val="000000"/>
          <w:sz w:val="28"/>
          <w:szCs w:val="28"/>
        </w:rPr>
        <w:t>в</w:t>
      </w:r>
      <w:r w:rsidR="00A024FB" w:rsidRPr="00D01FFE">
        <w:rPr>
          <w:color w:val="000000"/>
          <w:sz w:val="28"/>
          <w:szCs w:val="28"/>
        </w:rPr>
        <w:t>ы рискуете отдать свои деньги сегодня, ждать квартиру долгие годы</w:t>
      </w:r>
      <w:r w:rsidRPr="00D01FFE">
        <w:rPr>
          <w:color w:val="000000"/>
          <w:sz w:val="28"/>
          <w:szCs w:val="28"/>
        </w:rPr>
        <w:t>, а в худшем случае, вообще не дождаться</w:t>
      </w:r>
      <w:r w:rsidR="00A024FB" w:rsidRPr="00D01FFE">
        <w:rPr>
          <w:color w:val="000000"/>
          <w:sz w:val="28"/>
          <w:szCs w:val="28"/>
        </w:rPr>
        <w:t>.</w:t>
      </w:r>
    </w:p>
    <w:p w:rsidR="00A024FB" w:rsidRPr="00D01FFE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При </w:t>
      </w:r>
      <w:r w:rsidR="00733047" w:rsidRPr="00D01FFE">
        <w:rPr>
          <w:color w:val="000000"/>
          <w:sz w:val="28"/>
          <w:szCs w:val="28"/>
        </w:rPr>
        <w:t xml:space="preserve">оформлении </w:t>
      </w:r>
      <w:r w:rsidR="007A2456">
        <w:rPr>
          <w:color w:val="000000"/>
          <w:sz w:val="28"/>
          <w:szCs w:val="28"/>
        </w:rPr>
        <w:t>«серых»</w:t>
      </w:r>
      <w:r w:rsidR="00733047" w:rsidRPr="00D01FFE">
        <w:rPr>
          <w:color w:val="000000"/>
          <w:sz w:val="28"/>
          <w:szCs w:val="28"/>
        </w:rPr>
        <w:t xml:space="preserve"> договор</w:t>
      </w:r>
      <w:r w:rsidR="007A2456">
        <w:rPr>
          <w:color w:val="000000"/>
          <w:sz w:val="28"/>
          <w:szCs w:val="28"/>
        </w:rPr>
        <w:t>ов</w:t>
      </w:r>
      <w:r w:rsidRPr="00D01FFE">
        <w:rPr>
          <w:color w:val="000000"/>
          <w:sz w:val="28"/>
          <w:szCs w:val="28"/>
        </w:rPr>
        <w:t xml:space="preserve"> покупатели лишены многочисленных прав и гарантий, предоставленных </w:t>
      </w:r>
      <w:r w:rsidR="007A2456" w:rsidRPr="00EC3DA4">
        <w:rPr>
          <w:color w:val="1E2321"/>
          <w:spacing w:val="-2"/>
          <w:sz w:val="28"/>
          <w:szCs w:val="28"/>
        </w:rPr>
        <w:t>Закон</w:t>
      </w:r>
      <w:r w:rsidR="007A2456">
        <w:rPr>
          <w:color w:val="1E2321"/>
          <w:spacing w:val="-2"/>
          <w:sz w:val="28"/>
          <w:szCs w:val="28"/>
        </w:rPr>
        <w:t>ом</w:t>
      </w:r>
      <w:r w:rsidR="007A2456" w:rsidRPr="00EC3DA4">
        <w:rPr>
          <w:color w:val="1E2321"/>
          <w:spacing w:val="-2"/>
          <w:sz w:val="28"/>
          <w:szCs w:val="28"/>
        </w:rPr>
        <w:t xml:space="preserve"> № 214-ФЗ</w:t>
      </w:r>
      <w:r w:rsidR="00733047" w:rsidRPr="00D01FFE">
        <w:rPr>
          <w:color w:val="000000"/>
          <w:sz w:val="28"/>
          <w:szCs w:val="28"/>
        </w:rPr>
        <w:t xml:space="preserve">, так как только договор долевого участия в строительстве и его обязательная </w:t>
      </w:r>
      <w:r w:rsidR="008528F0" w:rsidRPr="00D01FFE">
        <w:rPr>
          <w:color w:val="000000"/>
          <w:sz w:val="28"/>
          <w:szCs w:val="28"/>
        </w:rPr>
        <w:t xml:space="preserve">государственная </w:t>
      </w:r>
      <w:r w:rsidR="00733047" w:rsidRPr="00D01FFE">
        <w:rPr>
          <w:color w:val="000000"/>
          <w:sz w:val="28"/>
          <w:szCs w:val="28"/>
        </w:rPr>
        <w:t>регистрация гарантируют защиту участника долевого строительства</w:t>
      </w:r>
      <w:r w:rsidR="007A2456">
        <w:rPr>
          <w:color w:val="000000"/>
          <w:sz w:val="28"/>
          <w:szCs w:val="28"/>
        </w:rPr>
        <w:t xml:space="preserve">. Нижеуказанные схемы не обеспечивают защиту в рамках </w:t>
      </w:r>
      <w:r w:rsidR="007A2456" w:rsidRPr="00EC3DA4">
        <w:rPr>
          <w:color w:val="1E2321"/>
          <w:spacing w:val="-2"/>
          <w:sz w:val="28"/>
          <w:szCs w:val="28"/>
        </w:rPr>
        <w:t>Закон</w:t>
      </w:r>
      <w:r w:rsidR="007A2456">
        <w:rPr>
          <w:color w:val="1E2321"/>
          <w:spacing w:val="-2"/>
          <w:sz w:val="28"/>
          <w:szCs w:val="28"/>
        </w:rPr>
        <w:t xml:space="preserve">а </w:t>
      </w:r>
      <w:r w:rsidR="007A2456" w:rsidRPr="00EC3DA4">
        <w:rPr>
          <w:color w:val="1E2321"/>
          <w:spacing w:val="-2"/>
          <w:sz w:val="28"/>
          <w:szCs w:val="28"/>
        </w:rPr>
        <w:t>№ 214-ФЗ</w:t>
      </w:r>
      <w:r w:rsidR="007A2456">
        <w:rPr>
          <w:color w:val="1E2321"/>
          <w:spacing w:val="-2"/>
          <w:sz w:val="28"/>
          <w:szCs w:val="28"/>
        </w:rPr>
        <w:t>:</w:t>
      </w:r>
    </w:p>
    <w:p w:rsidR="00A024FB" w:rsidRPr="00D01FFE" w:rsidRDefault="00A024FB" w:rsidP="007A2456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1. Предварительный договор купли-продажи квартиры. </w:t>
      </w:r>
    </w:p>
    <w:p w:rsidR="00A024FB" w:rsidRPr="00D01FFE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2. Предварительный договор участия в долевом строительстве. </w:t>
      </w:r>
    </w:p>
    <w:p w:rsidR="007A2456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3. Договор бронирования. Строительная компания предлагает внести 10-30% стоимости квартиры в самом начале строительства. Чаще всего на этом этапе у нее нет даже разрешения на строительство. </w:t>
      </w:r>
    </w:p>
    <w:p w:rsidR="007A2456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>4. "Депозитная" или "банковская" схема. Строительная компания продает квартиры тем клиентам, у которых есть счет в определенном банке, на который они вносят оговоренную сумму</w:t>
      </w:r>
    </w:p>
    <w:p w:rsidR="00A024FB" w:rsidRPr="00D01FFE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5. Договор займа. По этой схеме Вы не покупаете квартиру у строительной компании, а одалживаете ей свои деньги. </w:t>
      </w:r>
    </w:p>
    <w:p w:rsidR="00A024FB" w:rsidRPr="00D01FFE" w:rsidRDefault="00A024FB" w:rsidP="007A2456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>6. Вексельная схема. С покупателем заключаются два договора: обычно предварительный договор купли-продажи или соглашение о намерениях и договор купли-продажи векселя. Подразумевается, что оплата будущей сделки происходит путем погашения векселя, то есть строительная компания погашает вексель не деньгами, а квадратными метрами.</w:t>
      </w:r>
      <w:r w:rsidR="007A2456">
        <w:rPr>
          <w:color w:val="000000"/>
          <w:sz w:val="28"/>
          <w:szCs w:val="28"/>
        </w:rPr>
        <w:t xml:space="preserve"> </w:t>
      </w:r>
      <w:r w:rsidRPr="00D01FFE">
        <w:rPr>
          <w:color w:val="000000"/>
          <w:sz w:val="28"/>
          <w:szCs w:val="28"/>
        </w:rPr>
        <w:t xml:space="preserve">Проблема в том, что вексель и обязательство предоставить квартиру никак между собой не связаны. </w:t>
      </w:r>
    </w:p>
    <w:p w:rsidR="007A2456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7. Договор соинвестирования или инвестиционный договор. </w:t>
      </w:r>
    </w:p>
    <w:p w:rsidR="00A024FB" w:rsidRPr="00D01FFE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>8. Договор участия в хозяйственной деятельности потребительского общества. Потребительское общество не может осуществлять деятельность по строительству жилья и привлечению денежных средств для этих целей.</w:t>
      </w:r>
    </w:p>
    <w:p w:rsidR="00A024FB" w:rsidRDefault="00A024FB" w:rsidP="0062752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lastRenderedPageBreak/>
        <w:t>9. Вступление в коммандитное товарищество. Коммандитное товарищество рассчитано на приобретение части прибыли от участия в нем. Никаких имущественных прав у граждан не возникает.</w:t>
      </w:r>
    </w:p>
    <w:p w:rsidR="007A2456" w:rsidRDefault="007A2456" w:rsidP="007A2456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1FFE">
        <w:rPr>
          <w:color w:val="000000"/>
          <w:sz w:val="28"/>
          <w:szCs w:val="28"/>
        </w:rPr>
        <w:t xml:space="preserve">При заключении </w:t>
      </w:r>
      <w:r>
        <w:rPr>
          <w:color w:val="000000"/>
          <w:sz w:val="28"/>
          <w:szCs w:val="28"/>
        </w:rPr>
        <w:t>вышеуказанных</w:t>
      </w:r>
      <w:r w:rsidRPr="00D01FFE">
        <w:rPr>
          <w:color w:val="000000"/>
          <w:sz w:val="28"/>
          <w:szCs w:val="28"/>
        </w:rPr>
        <w:t xml:space="preserve"> договор</w:t>
      </w:r>
      <w:r>
        <w:rPr>
          <w:color w:val="000000"/>
          <w:sz w:val="28"/>
          <w:szCs w:val="28"/>
        </w:rPr>
        <w:t>ов</w:t>
      </w:r>
      <w:r w:rsidRPr="00D01FFE">
        <w:rPr>
          <w:color w:val="000000"/>
          <w:sz w:val="28"/>
          <w:szCs w:val="28"/>
        </w:rPr>
        <w:t xml:space="preserve"> у покупателя не возникает права требования на квартиру.</w:t>
      </w:r>
    </w:p>
    <w:p w:rsidR="00460697" w:rsidRDefault="00460697" w:rsidP="0046069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01FF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Инвестирование в жилую недвижимости на ранних этапах строительства дает возможность значительно сэкономить, а также приумножить вложения в будущем. Однако, необходимо учитывать все риски при вступлении в долевое строительство. Существует вероятность попасть в недострой и стать «обманутым дольщиком»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A024FB" w:rsidRPr="00B7247E" w:rsidRDefault="00B12B31" w:rsidP="0062752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B31">
        <w:rPr>
          <w:rFonts w:ascii="Times New Roman" w:hAnsi="Times New Roman" w:cs="Times New Roman"/>
          <w:sz w:val="28"/>
          <w:szCs w:val="28"/>
        </w:rPr>
        <w:t>По всем вопросам</w:t>
      </w:r>
      <w:r>
        <w:rPr>
          <w:rFonts w:ascii="Times New Roman" w:hAnsi="Times New Roman" w:cs="Times New Roman"/>
          <w:sz w:val="28"/>
          <w:szCs w:val="28"/>
        </w:rPr>
        <w:t>, связанным с участием в долевом строительстве,</w:t>
      </w:r>
      <w:r w:rsidRPr="00B12B31">
        <w:rPr>
          <w:rFonts w:ascii="Times New Roman" w:hAnsi="Times New Roman" w:cs="Times New Roman"/>
          <w:sz w:val="28"/>
          <w:szCs w:val="28"/>
        </w:rPr>
        <w:t xml:space="preserve"> можно обратиться в </w:t>
      </w:r>
      <w:r>
        <w:rPr>
          <w:rFonts w:ascii="Times New Roman" w:hAnsi="Times New Roman" w:cs="Times New Roman"/>
          <w:sz w:val="28"/>
          <w:szCs w:val="28"/>
        </w:rPr>
        <w:t>Отдел инспекционной работы и надзора за долевым строительством Министерства строительства и жилищно-коммунального хозяйства Кабардино-Балкарской Республики</w:t>
      </w:r>
      <w:r w:rsidRPr="00B12B31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12B31">
        <w:rPr>
          <w:rFonts w:ascii="Times New Roman" w:hAnsi="Times New Roman" w:cs="Times New Roman"/>
          <w:sz w:val="28"/>
          <w:szCs w:val="28"/>
        </w:rPr>
        <w:t>Нальчик</w:t>
      </w:r>
      <w:r>
        <w:rPr>
          <w:rFonts w:ascii="Times New Roman" w:hAnsi="Times New Roman" w:cs="Times New Roman"/>
          <w:sz w:val="28"/>
          <w:szCs w:val="28"/>
        </w:rPr>
        <w:t xml:space="preserve">,                     </w:t>
      </w:r>
      <w:r w:rsidRPr="00B12B31">
        <w:rPr>
          <w:rFonts w:ascii="Times New Roman" w:hAnsi="Times New Roman" w:cs="Times New Roman"/>
          <w:sz w:val="28"/>
          <w:szCs w:val="28"/>
        </w:rPr>
        <w:t xml:space="preserve">ул. Инессы Арманд, 43; тел.: </w:t>
      </w:r>
      <w:r>
        <w:rPr>
          <w:rFonts w:ascii="Times New Roman" w:hAnsi="Times New Roman" w:cs="Times New Roman"/>
          <w:sz w:val="28"/>
          <w:szCs w:val="28"/>
        </w:rPr>
        <w:t xml:space="preserve">8 (8662) </w:t>
      </w:r>
      <w:r w:rsidR="003B603F">
        <w:rPr>
          <w:rFonts w:ascii="Times New Roman" w:hAnsi="Times New Roman" w:cs="Times New Roman"/>
          <w:sz w:val="28"/>
          <w:szCs w:val="28"/>
        </w:rPr>
        <w:t xml:space="preserve">40-88-29 </w:t>
      </w:r>
      <w:hyperlink r:id="rId6" w:history="1">
        <w:r w:rsidR="003B603F" w:rsidRPr="00D629D3">
          <w:rPr>
            <w:rStyle w:val="a3"/>
            <w:rFonts w:ascii="Times New Roman" w:hAnsi="Times New Roman" w:cs="Times New Roman"/>
            <w:sz w:val="28"/>
            <w:szCs w:val="28"/>
          </w:rPr>
          <w:t>https://minstroy.kbr.ru/</w:t>
        </w:r>
      </w:hyperlink>
      <w:r w:rsidR="003B60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24FB" w:rsidRPr="00B7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26771"/>
    <w:multiLevelType w:val="hybridMultilevel"/>
    <w:tmpl w:val="31AE6C2A"/>
    <w:lvl w:ilvl="0" w:tplc="3EE89C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1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7E"/>
    <w:rsid w:val="00095C95"/>
    <w:rsid w:val="001853C0"/>
    <w:rsid w:val="001A60C8"/>
    <w:rsid w:val="001D164C"/>
    <w:rsid w:val="002A61DC"/>
    <w:rsid w:val="003B603F"/>
    <w:rsid w:val="003C0416"/>
    <w:rsid w:val="00460697"/>
    <w:rsid w:val="004961E2"/>
    <w:rsid w:val="004F4A44"/>
    <w:rsid w:val="0062752D"/>
    <w:rsid w:val="00733047"/>
    <w:rsid w:val="007A2456"/>
    <w:rsid w:val="008528F0"/>
    <w:rsid w:val="0090304F"/>
    <w:rsid w:val="009C395F"/>
    <w:rsid w:val="00A024FB"/>
    <w:rsid w:val="00B12B31"/>
    <w:rsid w:val="00B7247E"/>
    <w:rsid w:val="00C21369"/>
    <w:rsid w:val="00D01FFE"/>
    <w:rsid w:val="00DB18AC"/>
    <w:rsid w:val="00E2305B"/>
    <w:rsid w:val="00E94482"/>
    <w:rsid w:val="00EC3DA4"/>
    <w:rsid w:val="00EF42BC"/>
    <w:rsid w:val="00F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7B21"/>
  <w15:chartTrackingRefBased/>
  <w15:docId w15:val="{862E5EBA-CA46-4B77-8E26-5ED78D88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0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4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A60C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blog-articlestext">
    <w:name w:val="blog-articles__text"/>
    <w:basedOn w:val="a"/>
    <w:rsid w:val="001A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A2456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B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10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664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9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0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63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5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223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25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7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732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stroy.k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7FE3-0217-4B8F-B1F3-52E72738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2023-05-30T09:01:00Z</cp:lastPrinted>
  <dcterms:created xsi:type="dcterms:W3CDTF">2023-04-27T07:42:00Z</dcterms:created>
  <dcterms:modified xsi:type="dcterms:W3CDTF">2023-05-30T09:02:00Z</dcterms:modified>
</cp:coreProperties>
</file>